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Hiragino Kaku Gothic ProN" w:hAnsi="Hiragino Kaku Gothic ProN" w:cs="Hiragino Kaku Gothic ProN"/>
          <w:sz w:val="38"/>
          <w:sz-cs w:val="38"/>
          <w:b/>
          <w:spacing w:val="0"/>
        </w:rPr>
        <w:t xml:space="preserve">在宅医療の現場からの評価 — 生活サポートの医療的価値</w:t>
      </w:r>
    </w:p>
    <w:p>
      <w:pPr>
        <w:jc w:val="center"/>
        <w:spacing w:after="280"/>
      </w:pPr>
      <w:r>
        <w:rPr>
          <w:rFonts w:ascii="Hiragino Kaku Gothic ProN" w:hAnsi="Hiragino Kaku Gothic ProN" w:cs="Hiragino Kaku Gothic ProN"/>
          <w:sz w:val="25"/>
          <w:sz-cs w:val="25"/>
          <w:spacing w:val="0"/>
          <w:color w:val="343434"/>
        </w:rPr>
        <w:t xml:space="preserve">出典: 恵那地区でのラジオ番組収録（在宅医療医・恵那市民病院関係者との福祉の取り組み）後に、</w:t>
        <w:br/>
        <w:t xml:space="preserve">在宅医療の医師からむすびサポートCLUB宛に寄せられたメール（2026年6月）より要旨を再構成</w:t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地域の現実（在宅医の指摘）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地域には高齢者世帯が多数あり、その多くは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子ども世代が遠方に転出した世帯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/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「元気で自立した状態」と「介護が必要な状態」の中間に、多くの世帯がある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/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地域包括ケアセンターや民生委員が見守っているが、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人員が限られ、十分に目が届いているとは言えない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/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生活サポートが生む医療的価値（在宅医の評価・要旨）</w:t>
      </w:r>
    </w:p>
    <w:p>
      <w:pPr>
        <w:ind w:left="240" w:right="240" w:first-line="-240"/>
        <w:spacing w:after="120"/>
      </w:pPr>
      <w:r>
        <w:rPr>
          <w:rFonts w:ascii="Hiragino Kaku Gothic ProN" w:hAnsi="Hiragino Kaku Gothic ProN" w:cs="Hiragino Kaku Gothic ProN"/>
          <w:sz w:val="28"/>
          <w:sz-cs w:val="28"/>
          <w:spacing w:val="0"/>
          <w:color w:val="1A1A1A"/>
        </w:rPr>
        <w:t xml:space="preserve">生活サポートが関わることは、その時間の不便を解消するだけではない。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1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介護支援への早期接続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関わりの中で介護が必要な状態になった場合、いち早く介護支援に結びつけられる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2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認知症の重症化防止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早期の気づきが重症化を防ぐ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3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他疾患でも同様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心不全の重症化を遅らせる、骨折を回避する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4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「準健康状態」の維持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在宅医が関わることで、健康寿命ではなくとも準健康状態を保つことに貢献できる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5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入院の回避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「私の仕事の大部分は病院を退院する際にいただいている。入院が回避できたなら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当人も家族も幸せであり、医療費の節約で社会も助かる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」</w:t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本プロジェクトにとっての意味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見守り・生活支援は「便利さ」ではなく、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重症化予防・入院回避という医療費適正化の入口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在宅医療の現場からの実証的な支持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地域包括・民生委員の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人員不足を補完する民間の担い手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として、公的支援網の隙間（中間層世帯）を毎日の配達網でカバー</w:t>
      </w:r>
    </w:p>
    <w:p>
      <w:pPr>
        <w:ind w:left="720" w:first-line="-720"/>
        <w:spacing w:after="80"/>
      </w:pPr>
      <w:r>
        <w:rPr>
          <w:rFonts w:ascii="Hiragino Kaku Gothic ProN" w:hAnsi="Hiragino Kaku Gothic ProN" w:cs="Hiragino Kaku Gothic ProN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医師会・行政・金融機関への協賛/連携依頼における、第三者（医療専門職）による価値の裏付け</w:t>
      </w:r>
    </w:p>
    <w:p>
      <w:pPr>
        <w:jc w:val="center"/>
        <w:spacing w:after="80"/>
      </w:pPr>
      <w:r>
        <w:rPr>
          <w:rFonts w:ascii="Hiragino Kaku Gothic ProN" w:hAnsi="Hiragino Kaku Gothic ProN" w:cs="Hiragino Kaku Gothic ProN"/>
          <w:sz w:val="25"/>
          <w:sz-cs w:val="25"/>
          <w:spacing w:val="0"/>
          <w:color w:val="1A1A1A"/>
        </w:rPr>
        <w:t xml:space="preserve">企画・運営: むすびGroup ／ 事業主体: 中日新聞販売店（株）両藤舎</w:t>
        <w:br/>
        <w:t xml:space="preserve">お問い合わせ: まごころちょこっとサポート運営事務局　0572-22-3500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